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POZVÁNKA NA VE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ŘEJNÉ ZASEDÁNÍ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ZASTUPITELSTVA OBCE ZADNÍ ST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ŘÍTEŽ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která se koná dne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7.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.2017 od 19:00 hodin v budov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ě obecního úřadu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Program zasedání: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 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chválení rozpo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čtového opatření č.2.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ůzné: a) předány dary k MDŽ.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b)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okra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čování na akci Setkání rodáků.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c)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účast na setkání starostů, které se konalo v Soběslavy.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d)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zahájen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ozemkov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úprav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y.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výměna otvorových výplní na místní kapličce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znesen dotaz z geodézie z 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Č.B.na pomístná označení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názv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ů polí.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g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ktualizace údaj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ů na komunální odpad,pejsky a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rekreační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objekty.Podle toho se vybýrají poplatky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,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z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 rok-2017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